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936928</wp:posOffset>
                </wp:positionV>
                <wp:extent cx="127000" cy="40259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40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EW-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VH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73.773911pt;width:10pt;height:31.7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EW-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VH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BA7"/>
        </w:rPr>
        <w:t>EW-</w:t>
      </w:r>
      <w:r>
        <w:rPr>
          <w:b w:val="0"/>
          <w:color w:val="005BA7"/>
          <w:spacing w:val="-5"/>
        </w:rPr>
        <w:t>VH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5" w:val="left" w:leader="none"/>
        </w:tabs>
        <w:spacing w:line="237" w:lineRule="exact" w:before="53" w:after="0"/>
        <w:ind w:left="295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15" w:right="914"/>
        <w:rPr>
          <w:b w:val="0"/>
        </w:rPr>
      </w:pPr>
      <w:r>
        <w:rPr>
          <w:b w:val="0"/>
          <w:color w:val="231F20"/>
        </w:rPr>
        <w:t>CE-zertifizierte, starre, einwandige, rußbrandbeständige Verbindungsstücke Fabrikat Jeremias EW-VH. Verbindungsleitung 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industriell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gefertigten,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einwandigen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Elementen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trocken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betriebene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Regelfeuerstätten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Öl,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Kaminöfen/ Festbrennstofffeuerstätten zum Schornstein/ Abgasanlage.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unabhängiges,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akkreditiertes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Einhaltung gleich bleibender Güte gesichert.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hochlegiertem,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austenitischem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Werkstoffnummer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1.4404,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Längenelemente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 Formteile 0,6 mm.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Längsnähte unter WIG schutzgasgeschweißt ohne </w:t>
      </w:r>
      <w:r>
        <w:rPr>
          <w:b w:val="0"/>
          <w:color w:val="231F20"/>
          <w:spacing w:val="-2"/>
        </w:rPr>
        <w:t>Zusatz.</w:t>
      </w:r>
    </w:p>
    <w:p>
      <w:pPr>
        <w:pStyle w:val="BodyText"/>
        <w:ind w:left="115" w:right="4288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Verbeulen. Eingezogene Steckverbindung, ohne Klemmbänder.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3" w:val="left" w:leader="none"/>
        </w:tabs>
        <w:spacing w:line="237" w:lineRule="exact" w:before="0" w:after="0"/>
        <w:ind w:left="343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spacing w:line="189" w:lineRule="exact"/>
        <w:ind w:left="115"/>
        <w:rPr>
          <w:b w:val="0"/>
        </w:rPr>
      </w:pPr>
      <w:r>
        <w:rPr>
          <w:b w:val="0"/>
          <w:color w:val="231F20"/>
        </w:rPr>
        <w:t>Verbindungsstück für trockene Betriebsweise im </w:t>
      </w:r>
      <w:r>
        <w:rPr>
          <w:b w:val="0"/>
          <w:color w:val="231F20"/>
          <w:spacing w:val="-2"/>
        </w:rPr>
        <w:t>Unterdruck.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Verbindungsleitung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EW-VH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Anschluss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Regelfeuerstätten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Öl,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Festbrennstoffe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(naturbelassenes Holz, Koks, Torf, Kohle (ausgenommen Anthrazitkohle)).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Maximale Betriebstemperatur 400°C,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6" w:val="left" w:leader="none"/>
        </w:tabs>
        <w:spacing w:line="237" w:lineRule="exact" w:before="1" w:after="0"/>
        <w:ind w:left="346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5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076</w:t>
      </w:r>
    </w:p>
    <w:p>
      <w:pPr>
        <w:pStyle w:val="BodyText"/>
        <w:ind w:left="115" w:right="2130"/>
        <w:rPr>
          <w:b w:val="0"/>
        </w:rPr>
      </w:pPr>
      <w:r>
        <w:rPr>
          <w:b w:val="0"/>
          <w:color w:val="231F20"/>
        </w:rPr>
        <w:t>0.1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Starre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Verbindungsstücke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400°C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Abgastemperatur/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Unterdruck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N1/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D) EN 1856-2 T400-N1-D-V2-L50050-G400M (ohne Strahlungsschutz)</w:t>
      </w: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EN 1856-2 T400-N1-D-V2-L50050-G300 (mit </w:t>
      </w:r>
      <w:r>
        <w:rPr>
          <w:b w:val="0"/>
          <w:color w:val="231F20"/>
          <w:spacing w:val="-2"/>
        </w:rPr>
        <w:t>Strahlungsschutz)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8" w:val="left" w:leader="none"/>
        </w:tabs>
        <w:spacing w:line="237" w:lineRule="exact" w:before="0" w:after="0"/>
        <w:ind w:left="358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15" w:right="2575"/>
        <w:rPr>
          <w:b w:val="0"/>
        </w:rPr>
      </w:pPr>
      <w:r>
        <w:rPr>
          <w:b w:val="0"/>
          <w:color w:val="231F20"/>
        </w:rPr>
        <w:t>Längenelemente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Formteile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W.1.4404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IIID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Hochglanz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Standard) Querschnitt: rund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6" w:val="left" w:leader="none"/>
        </w:tabs>
        <w:spacing w:line="237" w:lineRule="exact" w:before="0" w:after="0"/>
        <w:ind w:left="346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5"/>
        <w:rPr>
          <w:b w:val="0"/>
        </w:rPr>
      </w:pPr>
      <w:r>
        <w:rPr>
          <w:b w:val="0"/>
          <w:color w:val="231F20"/>
        </w:rPr>
        <w:t>Ø 110 mm - Ø 180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3" w:val="left" w:leader="none"/>
        </w:tabs>
        <w:spacing w:line="237" w:lineRule="exact" w:before="0" w:after="0"/>
        <w:ind w:left="353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5" w:right="232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 ist nach DIN EN 13384-1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3" w:val="left" w:leader="none"/>
        </w:tabs>
        <w:spacing w:line="237" w:lineRule="exact" w:before="0" w:after="0"/>
        <w:ind w:left="343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5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</w:rPr>
      </w:pPr>
    </w:p>
    <w:p>
      <w:pPr>
        <w:spacing w:before="0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13"/>
        <w:ind w:left="97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914890</wp:posOffset>
                </wp:positionH>
                <wp:positionV relativeFrom="paragraph">
                  <wp:posOffset>47411</wp:posOffset>
                </wp:positionV>
                <wp:extent cx="75819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5819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VH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38597pt;margin-top:3.733211pt;width:59.7pt;height:35.2pt;mso-position-horizontal-relative:page;mso-position-vertical-relative:paragraph;z-index:-15834112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VH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70"/>
        <w:rPr>
          <w:b w:val="0"/>
        </w:rPr>
      </w:pPr>
      <w:r>
        <w:rPr>
          <w:b w:val="0"/>
          <w:color w:val="005AAA"/>
        </w:rPr>
        <w:t>EW-</w:t>
      </w:r>
      <w:r>
        <w:rPr>
          <w:b w:val="0"/>
          <w:color w:val="005AAA"/>
          <w:spacing w:val="-5"/>
        </w:rPr>
        <w:t>VH</w:t>
      </w:r>
    </w:p>
    <w:p>
      <w:pPr>
        <w:pStyle w:val="BodyText"/>
        <w:rPr>
          <w:rFonts w:ascii="Gotham Book"/>
          <w:b w:val="0"/>
          <w:sz w:val="24"/>
        </w:rPr>
      </w:pPr>
    </w:p>
    <w:p>
      <w:pPr>
        <w:pStyle w:val="Heading2"/>
        <w:spacing w:before="52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9" w:right="4288"/>
        <w:rPr>
          <w:b w:val="0"/>
        </w:rPr>
      </w:pPr>
      <w:r>
        <w:rPr>
          <w:b w:val="0"/>
          <w:color w:val="231F20"/>
        </w:rPr>
        <w:t>Verbindungsleitung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Hochglanz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alle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Regelfeuerstätten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im Unterdruckbetrieb und trockener Betriebsweise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1.4404 </w:t>
      </w:r>
      <w:r>
        <w:rPr>
          <w:b w:val="0"/>
          <w:color w:val="231F20"/>
          <w:spacing w:val="-2"/>
        </w:rPr>
        <w:t>(316L)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Hochglanz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Längenelemente 0,5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Formteile 0,6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110 - 180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Eingezogene </w:t>
      </w:r>
      <w:r>
        <w:rPr>
          <w:b w:val="0"/>
          <w:color w:val="231F20"/>
          <w:spacing w:val="-2"/>
        </w:rPr>
        <w:t>Steckverbindung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Der Artikelcode für Ihre Bestellung ergibt sich aus: </w:t>
      </w:r>
      <w:r>
        <w:rPr>
          <w:b w:val="0"/>
          <w:color w:val="231F20"/>
          <w:spacing w:val="-2"/>
        </w:rPr>
        <w:t>Artikelcode</w:t>
      </w:r>
    </w:p>
    <w:p>
      <w:pPr>
        <w:pStyle w:val="BodyText"/>
        <w:ind w:left="109" w:right="5498"/>
        <w:rPr>
          <w:b w:val="0"/>
        </w:rPr>
      </w:pPr>
      <w:r>
        <w:rPr>
          <w:b w:val="0"/>
          <w:color w:val="231F20"/>
        </w:rPr>
        <w:t>+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VH0602110).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173"/>
        <w:ind w:left="114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1" w:after="0"/>
        <w:ind w:left="237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Edles</w:t>
      </w:r>
      <w:r>
        <w:rPr>
          <w:b w:val="0"/>
          <w:color w:val="231F20"/>
          <w:spacing w:val="-2"/>
          <w:sz w:val="16"/>
        </w:rPr>
        <w:t> Design</w:t>
      </w:r>
    </w:p>
    <w:p>
      <w:pPr>
        <w:pStyle w:val="BodyText"/>
        <w:spacing w:before="11"/>
        <w:rPr>
          <w:b w:val="0"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1" w:after="0"/>
        <w:ind w:left="237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Keine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Klemmbänder </w:t>
      </w:r>
      <w:r>
        <w:rPr>
          <w:b w:val="0"/>
          <w:color w:val="231F20"/>
          <w:spacing w:val="-2"/>
          <w:sz w:val="16"/>
        </w:rPr>
        <w:t>nötig</w:t>
      </w:r>
    </w:p>
    <w:p>
      <w:pPr>
        <w:pStyle w:val="Heading2"/>
        <w:spacing w:line="240" w:lineRule="auto" w:before="173"/>
        <w:ind w:left="114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7" w:val="left" w:leader="none"/>
          <w:tab w:pos="257" w:val="left" w:leader="none"/>
        </w:tabs>
        <w:spacing w:line="240" w:lineRule="auto" w:before="1" w:after="0"/>
        <w:ind w:left="257" w:right="1615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Öl,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Gas,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Festbrennstoffe (naturbelassenes Holz, Koks, Torf, Kohle*)</w: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before="0"/>
        <w:ind w:left="113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80" w:bottom="0" w:left="480" w:right="460"/>
          <w:cols w:num="2" w:equalWidth="0">
            <w:col w:w="2334" w:space="3152"/>
            <w:col w:w="5484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8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9796" y="1120104"/>
                            <a:ext cx="3290201" cy="34241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9288" y="527455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1402" y="5274551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116" y="527455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2459" y="527455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0344" y="527455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98231" y="527455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173" y="5274552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3521" y="5274538"/>
                            <a:ext cx="539995" cy="5400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4581" y="5274538"/>
                            <a:ext cx="539991" cy="540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83039" y="6004254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86636" y="7567644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3600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66;top:493;width:573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157;top:1763;width:5182;height:5393" type="#_x0000_t75" id="docshape8" stroked="false">
                  <v:imagedata r:id="rId8" o:title=""/>
                </v:shape>
                <v:shape style="position:absolute;left:3479;top:8306;width:851;height:851" type="#_x0000_t75" id="docshape9" stroked="false">
                  <v:imagedata r:id="rId9" o:title=""/>
                </v:shape>
                <v:shape style="position:absolute;left:5403;top:8306;width:851;height:851" type="#_x0000_t75" id="docshape10" stroked="false">
                  <v:imagedata r:id="rId10" o:title=""/>
                </v:shape>
                <v:shape style="position:absolute;left:592;top:8306;width:851;height:851" type="#_x0000_t75" id="docshape11" stroked="false">
                  <v:imagedata r:id="rId11" o:title=""/>
                </v:shape>
                <v:shape style="position:absolute;left:6366;top:8306;width:851;height:851" type="#_x0000_t75" id="docshape12" stroked="false">
                  <v:imagedata r:id="rId12" o:title=""/>
                </v:shape>
                <v:shape style="position:absolute;left:4441;top:8306;width:851;height:851" type="#_x0000_t75" id="docshape13" stroked="false">
                  <v:imagedata r:id="rId13" o:title=""/>
                </v:shape>
                <v:shape style="position:absolute;left:2516;top:8306;width:851;height:851" type="#_x0000_t75" id="docshape14" stroked="false">
                  <v:imagedata r:id="rId14" o:title=""/>
                </v:shape>
                <v:shape style="position:absolute;left:1554;top:8306;width:851;height:851" type="#_x0000_t75" id="docshape15" stroked="false">
                  <v:imagedata r:id="rId15" o:title=""/>
                </v:shape>
                <v:shape style="position:absolute;left:7328;top:8306;width:851;height:851" type="#_x0000_t75" id="docshape16" stroked="false">
                  <v:imagedata r:id="rId16" o:title=""/>
                </v:shape>
                <v:shape style="position:absolute;left:8290;top:8306;width:851;height:851" type="#_x0000_t75" id="docshape17" stroked="false">
                  <v:imagedata r:id="rId17" o:title=""/>
                </v:shape>
                <v:line style="position:absolute" from="603,9456" to="11343,9456" stroked="true" strokeweight=".5pt" strokecolor="#005aaa">
                  <v:stroke dashstyle="solid"/>
                </v:line>
                <v:line style="position:absolute" from="609,11918" to="11343,11918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9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0036 CPR 9174 </w:t>
      </w:r>
      <w:r>
        <w:rPr>
          <w:b w:val="0"/>
          <w:color w:val="231F20"/>
          <w:spacing w:val="-5"/>
        </w:rPr>
        <w:t>076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ind w:left="109" w:right="5498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L50050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G400M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(ohne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Strahlungsschutz) T400 - N1 - D - V2 - L50050 - G300 (mit Strahlungsschutz)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7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467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674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882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089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1296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1504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1711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918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5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7" w:lineRule="exact"/>
      <w:ind w:left="237" w:hanging="231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2023-09-01T07:23:55Z</dcterms:created>
  <dcterms:modified xsi:type="dcterms:W3CDTF">2023-09-01T07:23:55Z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